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  价  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资产拍卖每次收取委托人 ：           （定额）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资产拍卖每次收取成交人 ：           （费率）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拍卖机构公章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资产评估每次收取委托人：            （定额）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资产评估机构公章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报价表说明（本说明报价时删除即可）：</w:t>
      </w:r>
      <w:bookmarkStart w:id="0" w:name="_GoBack"/>
      <w:bookmarkEnd w:id="0"/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医院处置报废资产原值：2020年486万元，2021年254万元，2022年截止到上半年270万元。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我院资产处置体量小，品目繁杂，为防止资产处置费用较低，导致拍卖机构及资产评估机构无法开展服务，特允许中标机构向我院收取定额服务费，特此说明！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80BB6"/>
    <w:multiLevelType w:val="multilevel"/>
    <w:tmpl w:val="D3180BB6"/>
    <w:lvl w:ilvl="0" w:tentative="0">
      <w:start w:val="1"/>
      <w:numFmt w:val="japaneseCounting"/>
      <w:pStyle w:val="4"/>
      <w:lvlText w:val="第%1章"/>
      <w:lvlJc w:val="left"/>
      <w:pPr>
        <w:ind w:left="735" w:hanging="735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WQ3Y2RjNTY5MWIwMjgzZTMyOTI0MzU1ZmYzN2YifQ=="/>
  </w:docVars>
  <w:rsids>
    <w:rsidRoot w:val="00000000"/>
    <w:rsid w:val="4D7976F6"/>
    <w:rsid w:val="5C7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numPr>
        <w:ilvl w:val="0"/>
        <w:numId w:val="1"/>
      </w:numPr>
      <w:ind w:left="735" w:firstLine="560" w:firstLineChars="200"/>
      <w:outlineLvl w:val="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2022-04-09T12:42:00Z</dcterms:created>
  <dc:creator>zhc13</dc:creator>
  <cp:lastModifiedBy>郑慧超 ♒</cp:lastModifiedBy>
  <dcterms:modified xsi:type="dcterms:W3CDTF">2022-09-05T08:08:45Z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55C2DCC3CBA04345AA27F2490EE39C22</vt:lpwstr>
  </property>
</Properties>
</file>